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97" w:rsidRPr="00AD77CF" w:rsidRDefault="006D5E36" w:rsidP="00AD0999">
      <w:pPr>
        <w:jc w:val="center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中美</w:t>
      </w:r>
      <w:r w:rsidR="00C33C0E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最新慢性乙肝</w:t>
      </w:r>
      <w:r w:rsidR="00510ED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防治</w:t>
      </w:r>
      <w:r w:rsidR="0045409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指南</w:t>
      </w:r>
      <w:r w:rsidR="00960502">
        <w:rPr>
          <w:rFonts w:ascii="仿宋" w:eastAsia="仿宋" w:hAnsi="仿宋" w:hint="eastAsia"/>
          <w:sz w:val="29"/>
          <w:szCs w:val="29"/>
          <w:shd w:val="clear" w:color="auto" w:fill="FFFFFF"/>
        </w:rPr>
        <w:t>简要</w:t>
      </w:r>
      <w:r w:rsidR="00C33C0E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比较</w:t>
      </w:r>
    </w:p>
    <w:p w:rsidR="00394592" w:rsidRPr="00AD77CF" w:rsidRDefault="000C2435" w:rsidP="00AD0999">
      <w:pPr>
        <w:ind w:firstLineChars="200" w:firstLine="580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慢性乙型肝炎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（简称乙肝）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是由于感染乙型肝炎病毒（HBV）引起的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传染性疾病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，乙型肝炎患者和HBV携带者是本病的主要传染源，HBV可通过母婴、血和血液制品、破损的皮肤黏膜及性接触传播。</w:t>
      </w:r>
      <w:r w:rsidR="001F5A2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我国是乙肝高发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国</w:t>
      </w:r>
      <w:r w:rsidR="001F5A2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。</w:t>
      </w:r>
      <w:r w:rsidR="00394592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据推算,我国</w:t>
      </w:r>
      <w:r w:rsidR="00B20C7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约</w:t>
      </w:r>
      <w:r w:rsidR="00394592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有</w:t>
      </w:r>
      <w:r w:rsidR="00065D0D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乙肝</w:t>
      </w:r>
      <w:r w:rsidR="00394592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携带者9300万人,有近5亿人感染过乙肝病毒,</w:t>
      </w:r>
      <w:r w:rsidR="002C7EF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而</w:t>
      </w:r>
      <w:r w:rsidR="00394592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乙肝携带者中约有近10％的人会发展为慢性乙肝</w:t>
      </w:r>
      <w:r w:rsidR="008E4C0F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。</w:t>
      </w:r>
    </w:p>
    <w:p w:rsidR="00454097" w:rsidRPr="00AD77CF" w:rsidRDefault="00EB2056" w:rsidP="008F606B">
      <w:pPr>
        <w:ind w:firstLine="540"/>
        <w:jc w:val="left"/>
        <w:rPr>
          <w:rFonts w:ascii="仿宋" w:eastAsia="仿宋" w:hAnsi="仿宋"/>
          <w:b/>
          <w:bCs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我国中华医学会与美国肝病学会</w:t>
      </w:r>
      <w:r w:rsidR="0096679D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相继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于去年末公布了最新的</w:t>
      </w:r>
      <w:r w:rsidR="00910092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《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慢性乙型肝炎防治指南</w:t>
      </w:r>
      <w:r w:rsidR="00910092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》</w:t>
      </w:r>
      <w:r w:rsidR="004253F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（以下简称</w:t>
      </w:r>
      <w:r w:rsidR="008F606B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中国</w:t>
      </w:r>
      <w:r w:rsidR="004253F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指南）</w:t>
      </w:r>
      <w:r w:rsidR="008F606B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和《</w:t>
      </w:r>
      <w:r w:rsidR="008F606B" w:rsidRPr="00AD77CF">
        <w:rPr>
          <w:rFonts w:ascii="仿宋" w:eastAsia="仿宋" w:hAnsi="仿宋"/>
          <w:bCs/>
          <w:sz w:val="29"/>
          <w:szCs w:val="29"/>
          <w:shd w:val="clear" w:color="auto" w:fill="FFFFFF"/>
        </w:rPr>
        <w:t>AASLD指南：慢性乙型肝炎的治疗</w:t>
      </w:r>
      <w:r w:rsidR="008F606B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》（以下简称美国指南）</w:t>
      </w:r>
      <w:r w:rsidR="000D4E6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</w:t>
      </w:r>
      <w:r w:rsidR="00B8502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两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国</w:t>
      </w:r>
      <w:r w:rsidR="00461E4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指南分别针对</w:t>
      </w:r>
      <w:r w:rsidR="0091474F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慢性乙肝患者及相关</w:t>
      </w:r>
      <w:r w:rsidR="00461E4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特殊人群的抗病毒治疗给出了推荐意见</w:t>
      </w:r>
      <w:r w:rsidR="004253F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。</w:t>
      </w:r>
      <w:r w:rsidR="006B251D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以下将对治疗意见的异同进行简要比较。</w:t>
      </w:r>
    </w:p>
    <w:p w:rsidR="00022778" w:rsidRPr="00AD77CF" w:rsidRDefault="00022778">
      <w:pPr>
        <w:ind w:firstLine="540"/>
        <w:jc w:val="center"/>
        <w:rPr>
          <w:rFonts w:ascii="仿宋" w:eastAsia="仿宋" w:hAnsi="仿宋"/>
          <w:b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对于</w:t>
      </w:r>
      <w:r w:rsidRPr="00AD77CF">
        <w:rPr>
          <w:rFonts w:ascii="仿宋" w:eastAsia="仿宋" w:hAnsi="仿宋"/>
          <w:b/>
          <w:sz w:val="29"/>
          <w:szCs w:val="29"/>
          <w:shd w:val="clear" w:color="auto" w:fill="FFFFFF"/>
        </w:rPr>
        <w:t>乙型肝炎E抗原(HBeAg)阳性</w:t>
      </w: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患者的治疗时机不同</w:t>
      </w:r>
    </w:p>
    <w:p w:rsidR="009C1EED" w:rsidRPr="00AD77CF" w:rsidRDefault="00560980" w:rsidP="00AD0999">
      <w:pPr>
        <w:ind w:firstLine="540"/>
        <w:jc w:val="left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美国指南</w:t>
      </w:r>
      <w:r w:rsidR="008E1181" w:rsidRPr="00AD77CF">
        <w:rPr>
          <w:rFonts w:ascii="仿宋" w:eastAsia="仿宋" w:hAnsi="仿宋"/>
          <w:sz w:val="29"/>
          <w:szCs w:val="29"/>
          <w:shd w:val="clear" w:color="auto" w:fill="FFFFFF"/>
        </w:rPr>
        <w:t>推荐</w:t>
      </w:r>
      <w:r w:rsidR="003B7C36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乙肝病毒DNA载量</w:t>
      </w:r>
      <w:r w:rsidR="008E1181" w:rsidRPr="00AD77CF">
        <w:rPr>
          <w:rFonts w:ascii="仿宋" w:eastAsia="仿宋" w:hAnsi="仿宋"/>
          <w:sz w:val="29"/>
          <w:szCs w:val="29"/>
          <w:shd w:val="clear" w:color="auto" w:fill="FFFFFF"/>
        </w:rPr>
        <w:t>＞20000IU/ml</w:t>
      </w:r>
      <w:r w:rsidR="008A7C2C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[</w:t>
      </w:r>
      <w:r w:rsidR="00E06E7C" w:rsidRPr="00AD77CF">
        <w:rPr>
          <w:rFonts w:ascii="仿宋" w:eastAsia="仿宋" w:hAnsi="仿宋"/>
          <w:sz w:val="29"/>
          <w:szCs w:val="29"/>
          <w:shd w:val="clear" w:color="auto" w:fill="FFFFFF"/>
        </w:rPr>
        <w:t>乙型肝炎E抗原</w:t>
      </w:r>
      <w:r w:rsidR="008A7C2C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(</w:t>
      </w:r>
      <w:r w:rsidR="008E1181" w:rsidRPr="00AD77CF">
        <w:rPr>
          <w:rFonts w:ascii="仿宋" w:eastAsia="仿宋" w:hAnsi="仿宋"/>
          <w:sz w:val="29"/>
          <w:szCs w:val="29"/>
          <w:shd w:val="clear" w:color="auto" w:fill="FFFFFF"/>
        </w:rPr>
        <w:t>HBeAg</w:t>
      </w:r>
      <w:r w:rsidR="008A7C2C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)</w:t>
      </w:r>
      <w:r w:rsidR="008E1181" w:rsidRPr="00AD77CF">
        <w:rPr>
          <w:rFonts w:ascii="仿宋" w:eastAsia="仿宋" w:hAnsi="仿宋"/>
          <w:sz w:val="29"/>
          <w:szCs w:val="29"/>
          <w:shd w:val="clear" w:color="auto" w:fill="FFFFFF"/>
        </w:rPr>
        <w:t>阳性</w:t>
      </w:r>
      <w:r w:rsidR="008A7C2C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]</w:t>
      </w:r>
      <w:r w:rsidR="008E1181" w:rsidRPr="00AD77CF">
        <w:rPr>
          <w:rFonts w:ascii="仿宋" w:eastAsia="仿宋" w:hAnsi="仿宋"/>
          <w:sz w:val="29"/>
          <w:szCs w:val="29"/>
          <w:shd w:val="clear" w:color="auto" w:fill="FFFFFF"/>
        </w:rPr>
        <w:t>的患者接受抗病毒治疗来减低肝脏相关并发症的风险。</w:t>
      </w:r>
      <w:r w:rsidR="00FD1A9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我国指南</w:t>
      </w:r>
      <w:r w:rsidR="00E06E7C" w:rsidRPr="00AD77CF">
        <w:rPr>
          <w:rFonts w:ascii="仿宋" w:eastAsia="仿宋" w:hAnsi="仿宋"/>
          <w:sz w:val="29"/>
          <w:szCs w:val="29"/>
          <w:shd w:val="clear" w:color="auto" w:fill="FFFFFF"/>
        </w:rPr>
        <w:t>从我国的国情和临床实践出发，考虑到</w:t>
      </w:r>
      <w:r w:rsidR="00FD1A9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部分ALT升高的HBeAg阳性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慢性乙肝</w:t>
      </w:r>
      <w:r w:rsidR="00FD1A9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患者在随访过程中会出现自发的HBeAg血清学转换，ALT恢复正常。因此，对于这类患者，建议先观察3</w:t>
      </w:r>
      <w:r w:rsidR="00AD77CF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～</w:t>
      </w:r>
      <w:r w:rsidR="00FD1A9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6个月，如未出现自发的HBeAg血清学转换，再考虑抗病毒治疗。</w:t>
      </w:r>
      <w:r w:rsidR="00ED61D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对于患有慢性乙肝的患者，</w:t>
      </w:r>
      <w:r w:rsidR="00CF701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中美指南</w:t>
      </w:r>
      <w:r w:rsidR="00E028B6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均</w:t>
      </w:r>
      <w:r w:rsidR="00CF701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推荐选</w:t>
      </w:r>
      <w:r w:rsidR="008A18E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用恩替卡韦、替诺福韦酯或</w:t>
      </w:r>
      <w:r w:rsidR="00F66AC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聚乙二醇修饰干扰素</w:t>
      </w:r>
      <w:r w:rsidR="008A18E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进行治疗。</w:t>
      </w:r>
    </w:p>
    <w:p w:rsidR="008A18E1" w:rsidRPr="00AD77CF" w:rsidRDefault="003611D1" w:rsidP="00AD0999">
      <w:pPr>
        <w:pStyle w:val="a3"/>
        <w:spacing w:before="0" w:beforeAutospacing="0" w:after="0" w:afterAutospacing="0"/>
        <w:ind w:firstLineChars="200" w:firstLine="580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lastRenderedPageBreak/>
        <w:t>两国指南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对于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不同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HBV基因型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的治疗方法也</w:t>
      </w:r>
      <w:r w:rsidR="00277E7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不同。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美国指南认为A 型和B 型更容易通过聚乙二醇干扰素的治疗使</w:t>
      </w:r>
      <w:r w:rsidR="00421777" w:rsidRPr="00AD77CF">
        <w:rPr>
          <w:rFonts w:ascii="仿宋" w:eastAsia="仿宋" w:hAnsi="仿宋"/>
          <w:sz w:val="29"/>
          <w:szCs w:val="29"/>
          <w:shd w:val="clear" w:color="auto" w:fill="FFFFFF"/>
        </w:rPr>
        <w:t>乙型肝炎E抗原</w:t>
      </w:r>
      <w:r w:rsidR="0042177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（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HBeAg</w:t>
      </w:r>
      <w:r w:rsidR="0042177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）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和</w:t>
      </w:r>
      <w:r w:rsidR="00157109" w:rsidRPr="00AD77CF">
        <w:rPr>
          <w:rFonts w:ascii="仿宋" w:eastAsia="仿宋" w:hAnsi="仿宋"/>
          <w:sz w:val="29"/>
          <w:szCs w:val="29"/>
          <w:shd w:val="clear" w:color="auto" w:fill="FFFFFF"/>
        </w:rPr>
        <w:t>乙肝表面抗原</w:t>
      </w:r>
      <w:r w:rsidR="0015710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（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HBsAg</w:t>
      </w:r>
      <w:r w:rsidR="0015710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）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消失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。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中国指南</w:t>
      </w:r>
      <w:r w:rsidR="00F227E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则将A和D归为可以做相同处理的一类，</w:t>
      </w:r>
      <w:r w:rsidR="000A7A6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认为</w:t>
      </w:r>
      <w:r w:rsidR="00F227E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若经过12</w:t>
      </w:r>
      <w:r w:rsidR="008C4E8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周聚乙二醇干扰素治疗</w:t>
      </w:r>
      <w:r w:rsidR="00F227E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 xml:space="preserve"> HBsAg</w:t>
      </w:r>
      <w:r w:rsidR="008C4E8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定量没有</w:t>
      </w:r>
      <w:r w:rsidR="00F227E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下降，建议停止治疗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；而</w:t>
      </w:r>
      <w:r w:rsidR="00F227E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将B和C归为另一类，</w:t>
      </w:r>
      <w:r w:rsidR="008C4E8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同样采取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12周聚乙二醇干扰素治疗，</w:t>
      </w:r>
      <w:r w:rsidR="008C4E8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若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 xml:space="preserve">HBsAg 定量仍大于 </w:t>
      </w:r>
      <w:r w:rsidR="008C4E8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20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000 IU/mL，建议停止治疗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；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无论哪种基因型，若经过 24周治疗 HBsAg 定量仍大于</w:t>
      </w:r>
      <w:r w:rsidR="008C4E8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20</w:t>
      </w:r>
      <w:r w:rsidR="006955F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000 IU/mL，建议停止治疗。</w:t>
      </w:r>
    </w:p>
    <w:p w:rsidR="00022778" w:rsidRPr="00AD77CF" w:rsidRDefault="00022778" w:rsidP="001338DD">
      <w:pPr>
        <w:pStyle w:val="a3"/>
        <w:spacing w:before="0" w:beforeAutospacing="0" w:after="0" w:afterAutospacing="0"/>
        <w:ind w:firstLineChars="200" w:firstLine="582"/>
        <w:jc w:val="center"/>
        <w:rPr>
          <w:rFonts w:ascii="仿宋" w:eastAsia="仿宋" w:hAnsi="仿宋"/>
          <w:b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/>
          <w:b/>
          <w:sz w:val="29"/>
          <w:szCs w:val="29"/>
          <w:shd w:val="clear" w:color="auto" w:fill="FFFFFF"/>
        </w:rPr>
        <w:t>HBeAg阳性患者血清学转换后巩固时长不同</w:t>
      </w:r>
    </w:p>
    <w:p w:rsidR="00022778" w:rsidRPr="00AD77CF" w:rsidRDefault="00390C9A">
      <w:pPr>
        <w:pStyle w:val="a3"/>
        <w:ind w:firstLineChars="200" w:firstLine="580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中国指南中明确提出了延长疗程可减少复发，因此认为NA治疗使乙肝病毒DNA载量低于检测下限、ALT复常、HBeAg血清学转换后，再巩固治疗至少3年（每隔6个月复查一次）仍保持不变者，方可考虑停药。而</w:t>
      </w:r>
      <w:r w:rsidR="008830EF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美国指南认为</w:t>
      </w:r>
      <w:r w:rsidR="009659D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目前还不太明确延长巩固疗程</w:t>
      </w:r>
      <w:r w:rsidR="00F31826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是否</w:t>
      </w:r>
      <w:r w:rsidR="009659D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会降低复发风险，因此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将巩固疗程设定为至少12个月ALT复常和</w:t>
      </w:r>
      <w:r w:rsidR="00EB43C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乙肝病毒DNA载量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低于检测下限。</w:t>
      </w:r>
    </w:p>
    <w:p w:rsidR="00461E43" w:rsidRPr="00AD77CF" w:rsidRDefault="00022778" w:rsidP="00AD0999">
      <w:pPr>
        <w:ind w:firstLine="540"/>
        <w:jc w:val="center"/>
        <w:rPr>
          <w:rFonts w:ascii="仿宋" w:eastAsia="仿宋" w:hAnsi="仿宋"/>
          <w:b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服药时是否可以母乳喂养观点不同</w:t>
      </w:r>
    </w:p>
    <w:p w:rsidR="008C20FE" w:rsidRPr="00AD77CF" w:rsidRDefault="008C20FE" w:rsidP="00AD0999">
      <w:pPr>
        <w:ind w:firstLine="540"/>
        <w:jc w:val="left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两国指南都</w:t>
      </w:r>
      <w:r w:rsidR="00057F1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认为在妊娠中后期乙肝病毒DNA载量大于2×10</w:t>
      </w:r>
      <w:r w:rsidR="00057F11" w:rsidRPr="00AD77CF">
        <w:rPr>
          <w:rFonts w:ascii="仿宋" w:eastAsia="仿宋" w:hAnsi="仿宋" w:hint="eastAsia"/>
          <w:sz w:val="29"/>
          <w:szCs w:val="29"/>
          <w:shd w:val="clear" w:color="auto" w:fill="FFFFFF"/>
          <w:vertAlign w:val="superscript"/>
        </w:rPr>
        <w:t>6</w:t>
      </w:r>
      <w:r w:rsidR="00057F1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IU/ml时需进行抗病毒治疗，可于妊娠28周开始，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抗病毒药物应是拉米夫定、替比夫定和替诺福韦</w:t>
      </w:r>
      <w:r w:rsidR="00057F1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在产后3个月内停药；</w:t>
      </w:r>
      <w:r w:rsidR="00DE5C25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对于服药时是否可以母乳喂养，两国指南意见存在差异。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我国指南</w:t>
      </w:r>
      <w:r w:rsidR="00057F1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建议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停药后可母乳喂养，没有明确服药时是否可以母乳喂养，而美国的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lastRenderedPageBreak/>
        <w:t>指南认为抗病毒药物很少经母乳排</w:t>
      </w:r>
      <w:r w:rsidR="00441B7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出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，不大可能导致显著毒性</w:t>
      </w:r>
      <w:r w:rsidR="00AD099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母乳喂养不是禁忌</w:t>
      </w:r>
      <w:r w:rsidR="004F783D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。</w:t>
      </w:r>
    </w:p>
    <w:p w:rsidR="00E448AB" w:rsidRPr="00AD77CF" w:rsidRDefault="004253F3" w:rsidP="00AD0999">
      <w:pPr>
        <w:ind w:firstLine="540"/>
        <w:jc w:val="left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我国的指南中</w:t>
      </w:r>
      <w:r w:rsidR="0053230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还</w:t>
      </w:r>
      <w:r w:rsidR="00EA5C1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另外</w:t>
      </w:r>
      <w:r w:rsidR="00057F1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指出，如抗病毒治疗期间意外妊娠的患者，如应用干扰素治疗，建议终止妊娠；另外我国指南还</w:t>
      </w:r>
      <w:r w:rsidR="0053230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就男性抗病毒治疗患者的生育问题进行了建议：应用干扰素治疗的男性患者，应在停药后 6 个月方可考虑生育；应用NAs抗病毒治疗的男性患者，目前尚无证据表明 NAs 治疗对精子的不良影响，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医生</w:t>
      </w:r>
      <w:r w:rsidR="0053230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可在与患者充分沟通的前提下</w:t>
      </w:r>
      <w:r w:rsidR="003611D1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建议其</w:t>
      </w:r>
      <w:r w:rsidR="0053230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考虑生育。</w:t>
      </w:r>
    </w:p>
    <w:p w:rsidR="006A33C4" w:rsidRPr="00AD77CF" w:rsidRDefault="00022778" w:rsidP="00AD0999">
      <w:pPr>
        <w:ind w:firstLine="540"/>
        <w:jc w:val="center"/>
        <w:rPr>
          <w:rFonts w:ascii="仿宋" w:eastAsia="仿宋" w:hAnsi="仿宋"/>
          <w:b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替诺福韦是否能应用于肾脏疾病患者</w:t>
      </w:r>
      <w:r w:rsidR="00C42B76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尚存</w:t>
      </w: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争议</w:t>
      </w:r>
    </w:p>
    <w:p w:rsidR="001912C8" w:rsidRPr="00AD77CF" w:rsidRDefault="00B1544F" w:rsidP="00AD0999">
      <w:pPr>
        <w:jc w:val="left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hint="eastAsia"/>
        </w:rPr>
        <w:t xml:space="preserve">    </w:t>
      </w:r>
      <w:r w:rsidR="005F368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 xml:space="preserve"> 美国指南认为在肾脏及骨骼并发症的潜在长期风险方面，恩替卡韦与替诺福韦相比无差异</w:t>
      </w:r>
      <w:r w:rsidR="007462A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；而我国指南认为已经存在肾脏疾病或高位风险的慢性乙肝患者，应尽可能避免应用阿德福韦和替诺福韦</w:t>
      </w:r>
      <w:r w:rsidR="00CB0D5B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，推荐使用恩替卡韦或替比夫定。</w:t>
      </w:r>
    </w:p>
    <w:p w:rsidR="001338DD" w:rsidRPr="00AD77CF" w:rsidRDefault="001338DD" w:rsidP="001338DD">
      <w:pPr>
        <w:ind w:firstLine="540"/>
        <w:jc w:val="center"/>
        <w:rPr>
          <w:rFonts w:ascii="仿宋" w:eastAsia="仿宋" w:hAnsi="仿宋"/>
          <w:b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均建议儿童患者治疗需考虑长期治疗安全性及耐药性问题</w:t>
      </w:r>
    </w:p>
    <w:p w:rsidR="001338DD" w:rsidRPr="00AD77CF" w:rsidRDefault="001338DD" w:rsidP="001338DD">
      <w:pPr>
        <w:ind w:firstLine="540"/>
        <w:jc w:val="left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对于儿童患者的治疗，需考虑长期治疗安全性及耐药性问题。中美指南都建议</w:t>
      </w:r>
      <w:r w:rsidRPr="00AD77CF">
        <w:rPr>
          <w:rFonts w:ascii="仿宋" w:eastAsia="仿宋" w:hAnsi="仿宋"/>
          <w:sz w:val="29"/>
          <w:szCs w:val="29"/>
          <w:shd w:val="clear" w:color="auto" w:fill="FFFFFF"/>
        </w:rPr>
        <w:t xml:space="preserve">1 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岁以上儿童可考虑干扰素-</w:t>
      </w:r>
      <w:r w:rsidRPr="00AD77CF">
        <w:rPr>
          <w:rFonts w:ascii="Times New Roman" w:eastAsia="仿宋" w:hAnsi="Times New Roman" w:cs="Times New Roman"/>
          <w:sz w:val="29"/>
          <w:szCs w:val="29"/>
          <w:shd w:val="clear" w:color="auto" w:fill="FFFFFF"/>
        </w:rPr>
        <w:t>α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治疗，</w:t>
      </w:r>
      <w:r w:rsidRPr="00AD77CF">
        <w:rPr>
          <w:rFonts w:ascii="仿宋" w:eastAsia="仿宋" w:hAnsi="仿宋"/>
          <w:sz w:val="29"/>
          <w:szCs w:val="29"/>
          <w:shd w:val="clear" w:color="auto" w:fill="FFFFFF"/>
        </w:rPr>
        <w:t xml:space="preserve">2 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岁以上可选用恩替卡韦治疗，12 岁以上可选用替诺福韦治疗。</w:t>
      </w:r>
    </w:p>
    <w:p w:rsidR="001338DD" w:rsidRPr="00AD77CF" w:rsidRDefault="001338DD" w:rsidP="001338DD">
      <w:pPr>
        <w:ind w:firstLine="540"/>
        <w:jc w:val="left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美国指南还提出既往研究中口服抗病毒药物的疗程为 1～4 年。服用口服抗病毒药物时，可能要谨慎将 HBeAg 血清学转换作为治疗终点。停止抗病毒治疗的儿童应每3个月监测病毒学复发、ALT发作性升高和失代偿的情况，至少维持1年。无论乙肝病毒DNA载量水平如何，都不推荐 ALT 持续正常的 HBeAg 阳性儿童（ 2～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lastRenderedPageBreak/>
        <w:t>18岁)进行抗病毒治疗。</w:t>
      </w:r>
    </w:p>
    <w:p w:rsidR="006777D4" w:rsidRPr="00AD77CF" w:rsidRDefault="00022778" w:rsidP="00AD0999">
      <w:pPr>
        <w:ind w:firstLine="585"/>
        <w:jc w:val="center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b/>
          <w:sz w:val="29"/>
          <w:szCs w:val="29"/>
          <w:shd w:val="clear" w:color="auto" w:fill="FFFFFF"/>
        </w:rPr>
        <w:t>基于长期随访的大数据研究是未来的研究重点</w:t>
      </w:r>
    </w:p>
    <w:p w:rsidR="0073333A" w:rsidRPr="00AD77CF" w:rsidRDefault="00C42E39" w:rsidP="00AD0999">
      <w:pPr>
        <w:ind w:firstLineChars="200" w:firstLine="580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在两国的指南中</w:t>
      </w:r>
      <w:r w:rsidR="00F7138F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中美均多次提到基于长期随访的临床研究是未来的研究方向，中国指南更提出将大数据方法应用于长期随访数据的研究。如</w:t>
      </w:r>
      <w:r w:rsidR="000941DC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基于长期随访队列的临床疗效研究，</w:t>
      </w:r>
      <w:r w:rsidR="003E795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对妊娠晚期接触抗病毒药物婴儿的纵向随访，对于接受治疗的儿童进行长期随访</w:t>
      </w:r>
      <w:r w:rsidR="00A134EB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</w:t>
      </w:r>
      <w:r w:rsidR="003E795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以验证用间接生化和病毒学疗效</w:t>
      </w:r>
      <w:r w:rsidR="00A134EB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的方法</w:t>
      </w:r>
      <w:r w:rsidR="003E795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评估临床效果的有效性，</w:t>
      </w:r>
      <w:r w:rsidR="00BF0DE7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在抗病毒治疗时需要开展更多随访时间更长的临床随机研究</w:t>
      </w:r>
      <w:r w:rsidR="0073333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。</w:t>
      </w:r>
    </w:p>
    <w:p w:rsidR="00F7138F" w:rsidRPr="00AD77CF" w:rsidRDefault="00B23C45" w:rsidP="00AD0999">
      <w:pPr>
        <w:ind w:firstLineChars="200" w:firstLine="580"/>
        <w:rPr>
          <w:rFonts w:ascii="仿宋" w:eastAsia="仿宋" w:hAnsi="仿宋"/>
          <w:sz w:val="29"/>
          <w:szCs w:val="29"/>
          <w:shd w:val="clear" w:color="auto" w:fill="FFFFFF"/>
        </w:rPr>
      </w:pP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对于妊娠期药物治疗对母婴长期安全性的影响</w:t>
      </w:r>
      <w:r w:rsidR="0073333A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也是共同关注的重点</w:t>
      </w:r>
      <w:r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，如开始治疗的时机、病毒载量阈值以及哺乳期服用抗病毒药物的安全性等；</w:t>
      </w:r>
      <w:r w:rsidR="00AC223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此外还有</w:t>
      </w:r>
      <w:r w:rsidR="005F776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长期药物治疗对肝硬化逆转、肝癌发生率效果</w:t>
      </w:r>
      <w:r w:rsidR="00AC223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研究</w:t>
      </w:r>
      <w:r w:rsidR="005F7764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；</w:t>
      </w:r>
      <w:r w:rsidR="00134E09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不同治疗方案的成本效果分析</w:t>
      </w:r>
      <w:r w:rsidR="00AC223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等。以上都是慢性乙肝领域研究者未来可</w:t>
      </w:r>
      <w:r w:rsidR="00743EA3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努力</w:t>
      </w:r>
      <w:r w:rsidR="00AC2238" w:rsidRPr="00AD77CF">
        <w:rPr>
          <w:rFonts w:ascii="仿宋" w:eastAsia="仿宋" w:hAnsi="仿宋" w:hint="eastAsia"/>
          <w:sz w:val="29"/>
          <w:szCs w:val="29"/>
          <w:shd w:val="clear" w:color="auto" w:fill="FFFFFF"/>
        </w:rPr>
        <w:t>的方向。</w:t>
      </w:r>
    </w:p>
    <w:sectPr w:rsidR="00F7138F" w:rsidRPr="00AD77CF" w:rsidSect="00757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CD7" w:rsidRDefault="00E56CD7" w:rsidP="00394592">
      <w:r>
        <w:separator/>
      </w:r>
    </w:p>
  </w:endnote>
  <w:endnote w:type="continuationSeparator" w:id="1">
    <w:p w:rsidR="00E56CD7" w:rsidRDefault="00E56CD7" w:rsidP="00394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CD7" w:rsidRDefault="00E56CD7" w:rsidP="00394592">
      <w:r>
        <w:separator/>
      </w:r>
    </w:p>
  </w:footnote>
  <w:footnote w:type="continuationSeparator" w:id="1">
    <w:p w:rsidR="00E56CD7" w:rsidRDefault="00E56CD7" w:rsidP="003945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097"/>
    <w:rsid w:val="0001054F"/>
    <w:rsid w:val="0001692B"/>
    <w:rsid w:val="00022778"/>
    <w:rsid w:val="00032F1E"/>
    <w:rsid w:val="0004531D"/>
    <w:rsid w:val="00057F11"/>
    <w:rsid w:val="00065D0D"/>
    <w:rsid w:val="00082C72"/>
    <w:rsid w:val="0009320F"/>
    <w:rsid w:val="000941DC"/>
    <w:rsid w:val="000A75A5"/>
    <w:rsid w:val="000A7A63"/>
    <w:rsid w:val="000C2435"/>
    <w:rsid w:val="000C4E45"/>
    <w:rsid w:val="000D4E68"/>
    <w:rsid w:val="0010465C"/>
    <w:rsid w:val="00114050"/>
    <w:rsid w:val="001338DD"/>
    <w:rsid w:val="00134DCD"/>
    <w:rsid w:val="00134E09"/>
    <w:rsid w:val="00157109"/>
    <w:rsid w:val="00171EF6"/>
    <w:rsid w:val="00175C5C"/>
    <w:rsid w:val="001A4332"/>
    <w:rsid w:val="001C788D"/>
    <w:rsid w:val="001D5CCC"/>
    <w:rsid w:val="001E557A"/>
    <w:rsid w:val="001F5A23"/>
    <w:rsid w:val="002035C5"/>
    <w:rsid w:val="00221EBB"/>
    <w:rsid w:val="002351C4"/>
    <w:rsid w:val="00241B92"/>
    <w:rsid w:val="00242872"/>
    <w:rsid w:val="002479E6"/>
    <w:rsid w:val="00277E74"/>
    <w:rsid w:val="0028709C"/>
    <w:rsid w:val="002B22B6"/>
    <w:rsid w:val="002C7EF9"/>
    <w:rsid w:val="002F6349"/>
    <w:rsid w:val="00304283"/>
    <w:rsid w:val="00305281"/>
    <w:rsid w:val="00317BE8"/>
    <w:rsid w:val="003611D1"/>
    <w:rsid w:val="00363C27"/>
    <w:rsid w:val="00366FE9"/>
    <w:rsid w:val="00390C9A"/>
    <w:rsid w:val="00394592"/>
    <w:rsid w:val="003A070A"/>
    <w:rsid w:val="003B7C36"/>
    <w:rsid w:val="003E467A"/>
    <w:rsid w:val="003E7959"/>
    <w:rsid w:val="003F433F"/>
    <w:rsid w:val="00400631"/>
    <w:rsid w:val="00421777"/>
    <w:rsid w:val="004253F3"/>
    <w:rsid w:val="00441B74"/>
    <w:rsid w:val="00454097"/>
    <w:rsid w:val="00461E43"/>
    <w:rsid w:val="00474505"/>
    <w:rsid w:val="00486A94"/>
    <w:rsid w:val="004A255B"/>
    <w:rsid w:val="004E6B7C"/>
    <w:rsid w:val="004F783D"/>
    <w:rsid w:val="00510ED9"/>
    <w:rsid w:val="00513789"/>
    <w:rsid w:val="00523C77"/>
    <w:rsid w:val="00527BCD"/>
    <w:rsid w:val="0053230A"/>
    <w:rsid w:val="005435A7"/>
    <w:rsid w:val="005539F1"/>
    <w:rsid w:val="00560980"/>
    <w:rsid w:val="005765EA"/>
    <w:rsid w:val="005B48E2"/>
    <w:rsid w:val="005F368A"/>
    <w:rsid w:val="005F7764"/>
    <w:rsid w:val="006045B3"/>
    <w:rsid w:val="00613F92"/>
    <w:rsid w:val="0061429D"/>
    <w:rsid w:val="006152F3"/>
    <w:rsid w:val="006176FD"/>
    <w:rsid w:val="0063154D"/>
    <w:rsid w:val="00637769"/>
    <w:rsid w:val="006777D4"/>
    <w:rsid w:val="006836B3"/>
    <w:rsid w:val="006955FA"/>
    <w:rsid w:val="006A33C4"/>
    <w:rsid w:val="006B251D"/>
    <w:rsid w:val="006D5E36"/>
    <w:rsid w:val="006E60BA"/>
    <w:rsid w:val="007201BD"/>
    <w:rsid w:val="0073333A"/>
    <w:rsid w:val="00741A65"/>
    <w:rsid w:val="00743EA3"/>
    <w:rsid w:val="007462A9"/>
    <w:rsid w:val="00753AA9"/>
    <w:rsid w:val="00757D2E"/>
    <w:rsid w:val="007702E7"/>
    <w:rsid w:val="007A268D"/>
    <w:rsid w:val="007B19B2"/>
    <w:rsid w:val="0081520F"/>
    <w:rsid w:val="00820EE8"/>
    <w:rsid w:val="00835990"/>
    <w:rsid w:val="0084605E"/>
    <w:rsid w:val="00847FA9"/>
    <w:rsid w:val="008830EF"/>
    <w:rsid w:val="008A18E1"/>
    <w:rsid w:val="008A3A38"/>
    <w:rsid w:val="008A7C2C"/>
    <w:rsid w:val="008C20FE"/>
    <w:rsid w:val="008C4E84"/>
    <w:rsid w:val="008E1181"/>
    <w:rsid w:val="008E4C0F"/>
    <w:rsid w:val="008F606B"/>
    <w:rsid w:val="00902A0A"/>
    <w:rsid w:val="00910092"/>
    <w:rsid w:val="0091474F"/>
    <w:rsid w:val="00933AB0"/>
    <w:rsid w:val="00960502"/>
    <w:rsid w:val="009613AE"/>
    <w:rsid w:val="009659D9"/>
    <w:rsid w:val="0096679D"/>
    <w:rsid w:val="00972579"/>
    <w:rsid w:val="0098437F"/>
    <w:rsid w:val="00993372"/>
    <w:rsid w:val="009B1F00"/>
    <w:rsid w:val="009B4BA1"/>
    <w:rsid w:val="009C1EED"/>
    <w:rsid w:val="00A134EB"/>
    <w:rsid w:val="00A31766"/>
    <w:rsid w:val="00A41D78"/>
    <w:rsid w:val="00A8319A"/>
    <w:rsid w:val="00A83DB3"/>
    <w:rsid w:val="00A90D5C"/>
    <w:rsid w:val="00A9695D"/>
    <w:rsid w:val="00AA3BF2"/>
    <w:rsid w:val="00AC2238"/>
    <w:rsid w:val="00AD0999"/>
    <w:rsid w:val="00AD77CF"/>
    <w:rsid w:val="00AE40BA"/>
    <w:rsid w:val="00B0463D"/>
    <w:rsid w:val="00B1544F"/>
    <w:rsid w:val="00B20C7A"/>
    <w:rsid w:val="00B23C45"/>
    <w:rsid w:val="00B31E2E"/>
    <w:rsid w:val="00B409FB"/>
    <w:rsid w:val="00B74990"/>
    <w:rsid w:val="00B85028"/>
    <w:rsid w:val="00B9090C"/>
    <w:rsid w:val="00BB15C7"/>
    <w:rsid w:val="00BF0DE7"/>
    <w:rsid w:val="00BF2E67"/>
    <w:rsid w:val="00C04562"/>
    <w:rsid w:val="00C335C1"/>
    <w:rsid w:val="00C33C0E"/>
    <w:rsid w:val="00C42B76"/>
    <w:rsid w:val="00C42E39"/>
    <w:rsid w:val="00C97CBE"/>
    <w:rsid w:val="00CA2F09"/>
    <w:rsid w:val="00CB0D5B"/>
    <w:rsid w:val="00CD2C76"/>
    <w:rsid w:val="00CE48F3"/>
    <w:rsid w:val="00CF701A"/>
    <w:rsid w:val="00D05665"/>
    <w:rsid w:val="00D40077"/>
    <w:rsid w:val="00D6129A"/>
    <w:rsid w:val="00D70E25"/>
    <w:rsid w:val="00D80D48"/>
    <w:rsid w:val="00D85F21"/>
    <w:rsid w:val="00DE098E"/>
    <w:rsid w:val="00DE5C25"/>
    <w:rsid w:val="00E028B6"/>
    <w:rsid w:val="00E06E7C"/>
    <w:rsid w:val="00E27E88"/>
    <w:rsid w:val="00E448AB"/>
    <w:rsid w:val="00E53596"/>
    <w:rsid w:val="00E56CD7"/>
    <w:rsid w:val="00EA5C11"/>
    <w:rsid w:val="00EB2056"/>
    <w:rsid w:val="00EB43CA"/>
    <w:rsid w:val="00EC038D"/>
    <w:rsid w:val="00EC623D"/>
    <w:rsid w:val="00ED61D4"/>
    <w:rsid w:val="00EF3575"/>
    <w:rsid w:val="00F21D7C"/>
    <w:rsid w:val="00F227E7"/>
    <w:rsid w:val="00F31826"/>
    <w:rsid w:val="00F40282"/>
    <w:rsid w:val="00F568BD"/>
    <w:rsid w:val="00F66AC8"/>
    <w:rsid w:val="00F7138F"/>
    <w:rsid w:val="00F9393F"/>
    <w:rsid w:val="00FD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9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F6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7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94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9459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94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9459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05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054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F606B"/>
    <w:rPr>
      <w:b/>
      <w:bCs/>
      <w:kern w:val="44"/>
      <w:sz w:val="44"/>
      <w:szCs w:val="44"/>
    </w:rPr>
  </w:style>
  <w:style w:type="character" w:styleId="a7">
    <w:name w:val="annotation reference"/>
    <w:basedOn w:val="a0"/>
    <w:uiPriority w:val="99"/>
    <w:semiHidden/>
    <w:unhideWhenUsed/>
    <w:rsid w:val="00993372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93372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93372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9337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93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xhtsg</dc:creator>
  <cp:lastModifiedBy>xhtsg</cp:lastModifiedBy>
  <cp:revision>2</cp:revision>
  <dcterms:created xsi:type="dcterms:W3CDTF">2016-04-13T00:02:00Z</dcterms:created>
  <dcterms:modified xsi:type="dcterms:W3CDTF">2016-04-13T00:02:00Z</dcterms:modified>
</cp:coreProperties>
</file>