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F7B68">
      <w:pPr>
        <w:pStyle w:val="2"/>
        <w:spacing w:before="312" w:after="312"/>
      </w:pPr>
      <w:r>
        <w:t>IUPAC公布2025年化学十大新兴技术</w:t>
      </w:r>
    </w:p>
    <w:p w14:paraId="6C2C2CF3">
      <w:pPr>
        <w:adjustRightInd w:val="0"/>
        <w:snapToGrid w:val="0"/>
        <w:spacing w:line="500" w:lineRule="exact"/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2025年10月27日，国际纯粹与应用化学联合会（IUPAC）公布</w:t>
      </w:r>
      <w:r>
        <w:rPr>
          <w:rFonts w:hint="eastAsia" w:ascii="仿宋" w:hAnsi="仿宋" w:eastAsia="仿宋" w:cs="Times New Roman"/>
          <w:sz w:val="28"/>
          <w:szCs w:val="28"/>
        </w:rPr>
        <w:t>“</w:t>
      </w:r>
      <w:r>
        <w:rPr>
          <w:rFonts w:hint="eastAsia" w:ascii="Times New Roman" w:hAnsi="Times New Roman" w:eastAsia="仿宋" w:cs="Times New Roman"/>
          <w:sz w:val="28"/>
          <w:szCs w:val="28"/>
        </w:rPr>
        <w:t>2025年度化学领域十大新兴技术</w:t>
      </w:r>
      <w:r>
        <w:rPr>
          <w:rFonts w:hint="eastAsia" w:ascii="仿宋" w:hAnsi="仿宋" w:eastAsia="仿宋" w:cs="Times New Roman"/>
          <w:sz w:val="28"/>
          <w:szCs w:val="28"/>
        </w:rPr>
        <w:t>”</w:t>
      </w:r>
      <w:r>
        <w:rPr>
          <w:rFonts w:hint="eastAsia" w:ascii="Times New Roman" w:hAnsi="Times New Roman" w:eastAsia="仿宋" w:cs="Times New Roman"/>
          <w:sz w:val="28"/>
          <w:szCs w:val="28"/>
        </w:rPr>
        <w:t>名单，具体包括：交叉光刻体积打印、碳点、纳米链基生物传感器、合成细胞、单原子催化、热凝胶高分子、增材制造、用于结构解析的多模态大模型、直接空气捕集、电化学碳捕集与转化</w:t>
      </w:r>
      <w:r>
        <w:rPr>
          <w:rStyle w:val="11"/>
          <w:rFonts w:ascii="Times New Roman" w:hAnsi="Times New Roman" w:eastAsia="宋体" w:cs="Times New Roman"/>
          <w:sz w:val="28"/>
          <w:szCs w:val="28"/>
        </w:rPr>
        <w:footnoteReference w:id="0"/>
      </w:r>
      <w:r>
        <w:rPr>
          <w:rFonts w:ascii="Times New Roman" w:hAnsi="Times New Roman" w:eastAsia="仿宋" w:cs="Times New Roman"/>
          <w:sz w:val="28"/>
          <w:szCs w:val="28"/>
        </w:rPr>
        <w:t>。</w:t>
      </w:r>
    </w:p>
    <w:p w14:paraId="1149485B">
      <w:pPr>
        <w:spacing w:line="500" w:lineRule="exact"/>
        <w:ind w:firstLine="560" w:firstLineChars="200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一、交叉光刻体积打印（Xolography）</w:t>
      </w:r>
    </w:p>
    <w:p w14:paraId="2FA33DBF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Xolography新型3D打印技术融合光化学与材料科学，利用两种波长光配合双色光引发剂在空间中精准</w:t>
      </w:r>
      <w:r>
        <w:rPr>
          <w:rFonts w:ascii="仿宋" w:hAnsi="仿宋" w:eastAsia="仿宋" w:cs="Times New Roman"/>
          <w:sz w:val="28"/>
          <w:szCs w:val="28"/>
        </w:rPr>
        <w:t>“</w:t>
      </w:r>
      <w:r>
        <w:rPr>
          <w:rFonts w:ascii="Times New Roman" w:hAnsi="Times New Roman" w:eastAsia="仿宋" w:cs="Times New Roman"/>
          <w:sz w:val="28"/>
          <w:szCs w:val="28"/>
        </w:rPr>
        <w:t>写入并固化</w:t>
      </w:r>
      <w:r>
        <w:rPr>
          <w:rFonts w:ascii="仿宋" w:hAnsi="仿宋" w:eastAsia="仿宋" w:cs="Times New Roman"/>
          <w:sz w:val="28"/>
          <w:szCs w:val="28"/>
        </w:rPr>
        <w:t>”</w:t>
      </w:r>
      <w:r>
        <w:rPr>
          <w:rFonts w:ascii="Times New Roman" w:hAnsi="Times New Roman" w:eastAsia="仿宋" w:cs="Times New Roman"/>
          <w:sz w:val="28"/>
          <w:szCs w:val="28"/>
        </w:rPr>
        <w:t>三维结构，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使</w:t>
      </w:r>
      <w:r>
        <w:rPr>
          <w:rFonts w:ascii="Times New Roman" w:hAnsi="Times New Roman" w:eastAsia="仿宋" w:cs="Times New Roman"/>
          <w:sz w:val="28"/>
          <w:szCs w:val="28"/>
        </w:rPr>
        <w:t>复杂中空与运动部件也可高精度制造。其速度较传统逐层打印显著提升，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目前</w:t>
      </w:r>
      <w:r>
        <w:rPr>
          <w:rFonts w:ascii="Times New Roman" w:hAnsi="Times New Roman" w:eastAsia="仿宋" w:cs="Times New Roman"/>
          <w:sz w:val="28"/>
          <w:szCs w:val="28"/>
        </w:rPr>
        <w:t>已实现连续打印并在微重力环境验证。德国初创公司Xolo GmbH已获融资并布局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相关</w:t>
      </w:r>
      <w:r>
        <w:rPr>
          <w:rFonts w:ascii="Times New Roman" w:hAnsi="Times New Roman" w:eastAsia="仿宋" w:cs="Times New Roman"/>
          <w:sz w:val="28"/>
          <w:szCs w:val="28"/>
        </w:rPr>
        <w:t>专利，显示出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在</w:t>
      </w:r>
      <w:r>
        <w:rPr>
          <w:rFonts w:ascii="Times New Roman" w:hAnsi="Times New Roman" w:eastAsia="仿宋" w:cs="Times New Roman"/>
          <w:sz w:val="28"/>
          <w:szCs w:val="28"/>
        </w:rPr>
        <w:t>塑料制造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领域</w:t>
      </w:r>
      <w:r>
        <w:rPr>
          <w:rFonts w:ascii="Times New Roman" w:hAnsi="Times New Roman" w:eastAsia="仿宋" w:cs="Times New Roman"/>
          <w:sz w:val="28"/>
          <w:szCs w:val="28"/>
        </w:rPr>
        <w:t>的颠覆潜力。</w:t>
      </w:r>
    </w:p>
    <w:p w14:paraId="25FCB373">
      <w:pPr>
        <w:spacing w:line="500" w:lineRule="exact"/>
        <w:ind w:firstLine="560" w:firstLineChars="200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二、碳点（Carbon dots）</w:t>
      </w:r>
    </w:p>
    <w:p w14:paraId="0E02EBBF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作为量子点的绿色替代，碳点具低毒、良好水溶性、易功能化与荧光精细可调等优势，适用于传感、生物成像、药物递送、催化、光伏与储能。其核心结构可为</w:t>
      </w:r>
      <w:r>
        <w:rPr>
          <w:rFonts w:hint="eastAsia" w:ascii="Times New Roman" w:hAnsi="Times New Roman" w:eastAsia="仿宋" w:cs="Times New Roman"/>
          <w:sz w:val="28"/>
          <w:szCs w:val="28"/>
        </w:rPr>
        <w:t>晶体核</w:t>
      </w:r>
      <w:r>
        <w:rPr>
          <w:rFonts w:ascii="Times New Roman" w:hAnsi="Times New Roman" w:eastAsia="仿宋" w:cs="Times New Roman"/>
          <w:sz w:val="28"/>
          <w:szCs w:val="28"/>
        </w:rPr>
        <w:t>（碳量子点）、</w:t>
      </w:r>
      <w:r>
        <w:rPr>
          <w:rFonts w:hint="eastAsia" w:ascii="Times New Roman" w:hAnsi="Times New Roman" w:eastAsia="仿宋" w:cs="Times New Roman"/>
          <w:sz w:val="28"/>
          <w:szCs w:val="28"/>
        </w:rPr>
        <w:t>非晶石墨核</w:t>
      </w:r>
      <w:r>
        <w:rPr>
          <w:rFonts w:ascii="Times New Roman" w:hAnsi="Times New Roman" w:eastAsia="仿宋" w:cs="Times New Roman"/>
          <w:sz w:val="28"/>
          <w:szCs w:val="28"/>
        </w:rPr>
        <w:t>（碳纳米点）或碳化聚合物（聚合物碳点）。产业化进展中，马来西亚企业Qarbotech已将其用于提升作物光合效率。</w:t>
      </w:r>
    </w:p>
    <w:p w14:paraId="088D1C03">
      <w:pPr>
        <w:spacing w:line="500" w:lineRule="exact"/>
        <w:ind w:firstLine="560" w:firstLineChars="200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三、纳米链基生物传感器（Nanochain biosensors）</w:t>
      </w:r>
    </w:p>
    <w:p w14:paraId="1ABB5F37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纳米链可放大散射信号，将光学显微检测极限由约200 nm推至约50 nm，实现对病毒的直接观测；已用于SARS-CoV-2、H1N1、H3N2等病原体检测，并拓展至心肾疾病、偏头痛与部分肿瘤标志物。其在微流控中亦可用作分离/混合</w:t>
      </w:r>
      <w:r>
        <w:rPr>
          <w:rFonts w:ascii="仿宋" w:hAnsi="仿宋" w:eastAsia="仿宋" w:cs="Times New Roman"/>
          <w:sz w:val="28"/>
          <w:szCs w:val="28"/>
        </w:rPr>
        <w:t>“</w:t>
      </w:r>
      <w:r>
        <w:rPr>
          <w:rFonts w:ascii="Times New Roman" w:hAnsi="Times New Roman" w:eastAsia="仿宋" w:cs="Times New Roman"/>
          <w:sz w:val="28"/>
          <w:szCs w:val="28"/>
        </w:rPr>
        <w:t>纳米搅拌棒</w:t>
      </w:r>
      <w:r>
        <w:rPr>
          <w:rFonts w:ascii="仿宋" w:hAnsi="仿宋" w:eastAsia="仿宋" w:cs="Times New Roman"/>
          <w:sz w:val="28"/>
          <w:szCs w:val="28"/>
        </w:rPr>
        <w:t>”</w:t>
      </w:r>
      <w:r>
        <w:rPr>
          <w:rFonts w:ascii="Times New Roman" w:hAnsi="Times New Roman" w:eastAsia="仿宋" w:cs="Times New Roman"/>
          <w:sz w:val="28"/>
          <w:szCs w:val="28"/>
        </w:rPr>
        <w:t>，具备定制化和规模化潜力。</w:t>
      </w:r>
    </w:p>
    <w:p w14:paraId="7B17BB4F">
      <w:pPr>
        <w:spacing w:line="500" w:lineRule="exact"/>
        <w:ind w:firstLine="560" w:firstLineChars="200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四、合成细胞（Synthetic cells）</w:t>
      </w:r>
    </w:p>
    <w:p w14:paraId="1189DF28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合成细胞的构建方法可以分为“自上而下”和“自下而上”两种。</w:t>
      </w:r>
      <w:r>
        <w:rPr>
          <w:rFonts w:ascii="仿宋" w:hAnsi="仿宋" w:eastAsia="仿宋" w:cs="Times New Roman"/>
          <w:sz w:val="28"/>
          <w:szCs w:val="28"/>
        </w:rPr>
        <w:t>“</w:t>
      </w:r>
      <w:r>
        <w:rPr>
          <w:rFonts w:ascii="Times New Roman" w:hAnsi="Times New Roman" w:eastAsia="仿宋" w:cs="Times New Roman"/>
          <w:sz w:val="28"/>
          <w:szCs w:val="28"/>
        </w:rPr>
        <w:t>自上而下</w:t>
      </w:r>
      <w:r>
        <w:rPr>
          <w:rFonts w:ascii="仿宋" w:hAnsi="仿宋" w:eastAsia="仿宋" w:cs="Times New Roman"/>
          <w:sz w:val="28"/>
          <w:szCs w:val="28"/>
        </w:rPr>
        <w:t>”</w:t>
      </w:r>
      <w:r>
        <w:rPr>
          <w:rFonts w:ascii="Times New Roman" w:hAnsi="Times New Roman" w:eastAsia="仿宋" w:cs="Times New Roman"/>
          <w:sz w:val="28"/>
          <w:szCs w:val="28"/>
        </w:rPr>
        <w:t>通过极简基因组构建最小化细胞；</w:t>
      </w:r>
      <w:r>
        <w:rPr>
          <w:rFonts w:ascii="仿宋" w:hAnsi="仿宋" w:eastAsia="仿宋" w:cs="Times New Roman"/>
          <w:sz w:val="28"/>
          <w:szCs w:val="28"/>
        </w:rPr>
        <w:t>“</w:t>
      </w:r>
      <w:r>
        <w:rPr>
          <w:rFonts w:ascii="Times New Roman" w:hAnsi="Times New Roman" w:eastAsia="仿宋" w:cs="Times New Roman"/>
          <w:sz w:val="28"/>
          <w:szCs w:val="28"/>
        </w:rPr>
        <w:t>自下而上</w:t>
      </w:r>
      <w:r>
        <w:rPr>
          <w:rFonts w:ascii="仿宋" w:hAnsi="仿宋" w:eastAsia="仿宋" w:cs="Times New Roman"/>
          <w:sz w:val="28"/>
          <w:szCs w:val="28"/>
        </w:rPr>
        <w:t>”</w:t>
      </w:r>
      <w:r>
        <w:rPr>
          <w:rFonts w:ascii="Times New Roman" w:hAnsi="Times New Roman" w:eastAsia="仿宋" w:cs="Times New Roman"/>
          <w:sz w:val="28"/>
          <w:szCs w:val="28"/>
        </w:rPr>
        <w:t>以脂质囊泡封装核酸、蛋白、酶及简化细胞器，构建可编程系统。合成细胞既是研究基因表达、代谢与分子通信的模型平台，也是用于诊断、治疗与定向递药的工程载体。mRNA疫苗与脂质体药物可视为</w:t>
      </w:r>
      <w:r>
        <w:rPr>
          <w:rFonts w:ascii="仿宋" w:hAnsi="仿宋" w:eastAsia="仿宋" w:cs="Times New Roman"/>
          <w:sz w:val="28"/>
          <w:szCs w:val="28"/>
        </w:rPr>
        <w:t>“</w:t>
      </w:r>
      <w:r>
        <w:rPr>
          <w:rFonts w:ascii="Times New Roman" w:hAnsi="Times New Roman" w:eastAsia="仿宋" w:cs="Times New Roman"/>
          <w:sz w:val="28"/>
          <w:szCs w:val="28"/>
        </w:rPr>
        <w:t>自下而上</w:t>
      </w:r>
      <w:r>
        <w:rPr>
          <w:rFonts w:ascii="仿宋" w:hAnsi="仿宋" w:eastAsia="仿宋" w:cs="Times New Roman"/>
          <w:sz w:val="28"/>
          <w:szCs w:val="28"/>
        </w:rPr>
        <w:t>”</w:t>
      </w:r>
      <w:r>
        <w:rPr>
          <w:rFonts w:ascii="Times New Roman" w:hAnsi="Times New Roman" w:eastAsia="仿宋" w:cs="Times New Roman"/>
          <w:sz w:val="28"/>
          <w:szCs w:val="28"/>
        </w:rPr>
        <w:t>思想的工程化示例。</w:t>
      </w:r>
    </w:p>
    <w:p w14:paraId="70E04B81">
      <w:pPr>
        <w:spacing w:line="500" w:lineRule="exact"/>
        <w:ind w:firstLine="560" w:firstLineChars="200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五、单原子催化（Single-atom catalysis）</w:t>
      </w:r>
    </w:p>
    <w:p w14:paraId="2AC70716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将孤立金属原子锚定于载体表面，令活性位点暴露，实现理论上100%原子利用率与独特选择性，显著降低贵金属用量并提升可循环性。除Pt/Pd/Rh外，Fe/Ni/Cu等地丰金属单原子位点在CO</w:t>
      </w:r>
      <w:r>
        <w:rPr>
          <w:rFonts w:ascii="Times New Roman" w:hAnsi="Times New Roman" w:eastAsia="仿宋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eastAsia="仿宋" w:cs="Times New Roman"/>
          <w:sz w:val="28"/>
          <w:szCs w:val="28"/>
        </w:rPr>
        <w:t>电还原、水分解制氢、绿氨合成与偶联反应中表现优异。部分应用已实现商业化验证；手性单原子催化被视为下一前沿，目标逼近酶级选择性。</w:t>
      </w:r>
    </w:p>
    <w:p w14:paraId="6E99CC24">
      <w:pPr>
        <w:spacing w:line="500" w:lineRule="exact"/>
        <w:ind w:firstLine="560" w:firstLineChars="200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六、热凝胶高分子（Thermogelling polymers）</w:t>
      </w:r>
    </w:p>
    <w:p w14:paraId="119953DA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受单一温度刺激即可由溶液转变为凝胶，无需化学交联，具生物相容与可注射性，适用于成像、药物控释与组织工程。其作为3D生物打印墨水可快速构建生物支架，在玻璃体替代与视网膜修复中显示突出潜力，减少术后并发症。当前产业与学术并进，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积极挖掘</w:t>
      </w:r>
      <w:r>
        <w:rPr>
          <w:rFonts w:ascii="Times New Roman" w:hAnsi="Times New Roman" w:eastAsia="仿宋" w:cs="Times New Roman"/>
          <w:sz w:val="28"/>
          <w:szCs w:val="28"/>
        </w:rPr>
        <w:t>临床与规模化应用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价值，</w:t>
      </w:r>
      <w:r>
        <w:rPr>
          <w:rFonts w:ascii="Times New Roman" w:hAnsi="Times New Roman" w:eastAsia="仿宋" w:cs="Times New Roman"/>
          <w:sz w:val="28"/>
          <w:szCs w:val="28"/>
        </w:rPr>
        <w:t>拓展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应用边界</w:t>
      </w:r>
      <w:r>
        <w:rPr>
          <w:rFonts w:ascii="Times New Roman" w:hAnsi="Times New Roman" w:eastAsia="仿宋" w:cs="Times New Roman"/>
          <w:sz w:val="28"/>
          <w:szCs w:val="28"/>
        </w:rPr>
        <w:t>。</w:t>
      </w:r>
    </w:p>
    <w:p w14:paraId="195FB2B4">
      <w:pPr>
        <w:spacing w:line="500" w:lineRule="exact"/>
        <w:ind w:firstLine="560" w:firstLineChars="200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七、增材制造（Additive manufacturing）</w:t>
      </w:r>
    </w:p>
    <w:p w14:paraId="287B1AEF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以逐层累加构建替代减材加工，减少材料浪费并实现轻量化。</w:t>
      </w:r>
      <w:r>
        <w:rPr>
          <w:rFonts w:hint="eastAsia" w:ascii="Times New Roman" w:hAnsi="Times New Roman" w:eastAsia="仿宋" w:cs="Times New Roman"/>
          <w:sz w:val="28"/>
          <w:szCs w:val="28"/>
        </w:rPr>
        <w:t>材料化学正推动可降解/可回收聚合物、陶瓷与金属复合材料，以及低碳墨水和树脂体系的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创新</w:t>
      </w:r>
      <w:r>
        <w:rPr>
          <w:rFonts w:hint="eastAsia" w:ascii="Times New Roman" w:hAnsi="Times New Roman" w:eastAsia="仿宋" w:cs="Times New Roman"/>
          <w:sz w:val="28"/>
          <w:szCs w:val="28"/>
        </w:rPr>
        <w:t>，从而提升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增材制造</w:t>
      </w:r>
      <w:r>
        <w:rPr>
          <w:rFonts w:hint="eastAsia" w:ascii="Times New Roman" w:hAnsi="Times New Roman" w:eastAsia="仿宋" w:cs="Times New Roman"/>
          <w:sz w:val="28"/>
          <w:szCs w:val="28"/>
        </w:rPr>
        <w:t>全流程可持续性</w:t>
      </w:r>
      <w:r>
        <w:rPr>
          <w:rFonts w:ascii="Times New Roman" w:hAnsi="Times New Roman" w:eastAsia="仿宋" w:cs="Times New Roman"/>
          <w:sz w:val="28"/>
          <w:szCs w:val="28"/>
        </w:rPr>
        <w:t>。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该领域最新突破为制造</w:t>
      </w:r>
      <w:r>
        <w:rPr>
          <w:rFonts w:ascii="Times New Roman" w:hAnsi="Times New Roman" w:eastAsia="仿宋" w:cs="Times New Roman"/>
          <w:sz w:val="28"/>
          <w:szCs w:val="28"/>
        </w:rPr>
        <w:t>中空高强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结构创造了可能，工程优化有助于制造更轻量化部件</w:t>
      </w:r>
      <w:r>
        <w:rPr>
          <w:rFonts w:ascii="Times New Roman" w:hAnsi="Times New Roman" w:eastAsia="仿宋" w:cs="Times New Roman"/>
          <w:sz w:val="28"/>
          <w:szCs w:val="28"/>
        </w:rPr>
        <w:t>。赢创、空客、Carbon等企业已布局。</w:t>
      </w:r>
    </w:p>
    <w:p w14:paraId="3438F4F3">
      <w:pPr>
        <w:spacing w:line="500" w:lineRule="exact"/>
        <w:ind w:firstLine="560" w:firstLineChars="200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八、用于结构解析的多模态基础模型</w:t>
      </w:r>
      <w:r>
        <w:rPr>
          <w:rFonts w:hint="eastAsia" w:ascii="Times New Roman" w:hAnsi="Times New Roman" w:eastAsia="黑体" w:cs="Times New Roman"/>
          <w:bCs/>
          <w:sz w:val="28"/>
          <w:szCs w:val="28"/>
        </w:rPr>
        <w:t>（Multimodal foundation models for structure elucidation）</w:t>
      </w:r>
    </w:p>
    <w:p w14:paraId="4126AE44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融合IR、NMR、UV、MS等多源光谱与公开数据库的AI模型，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可</w:t>
      </w:r>
      <w:r>
        <w:rPr>
          <w:rFonts w:ascii="Times New Roman" w:hAnsi="Times New Roman" w:eastAsia="仿宋" w:cs="Times New Roman"/>
          <w:sz w:val="28"/>
          <w:szCs w:val="28"/>
        </w:rPr>
        <w:t>进行分子与材料结构的一体化解析，降低仪器与数据门槛并缩短周期；亦赋能药物发现、材料筛选、污染监测、质控与法证。尽管尚难替代专家推理，但在结构表示（InChI/SMILES）理解与跨模态推断方面快速进步，产业与学界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正在</w:t>
      </w:r>
      <w:r>
        <w:rPr>
          <w:rFonts w:ascii="Times New Roman" w:hAnsi="Times New Roman" w:eastAsia="仿宋" w:cs="Times New Roman"/>
          <w:sz w:val="28"/>
          <w:szCs w:val="28"/>
        </w:rPr>
        <w:t>协同推进。</w:t>
      </w:r>
    </w:p>
    <w:p w14:paraId="0D4A6101">
      <w:pPr>
        <w:spacing w:line="500" w:lineRule="exact"/>
        <w:ind w:firstLine="560" w:firstLineChars="200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九、直接空气捕集（</w:t>
      </w:r>
      <w:r>
        <w:rPr>
          <w:rFonts w:hint="eastAsia" w:ascii="Times New Roman" w:hAnsi="Times New Roman" w:eastAsia="黑体" w:cs="Times New Roman"/>
          <w:bCs/>
          <w:sz w:val="28"/>
          <w:szCs w:val="28"/>
        </w:rPr>
        <w:t>Direct air capture</w:t>
      </w:r>
      <w:r>
        <w:rPr>
          <w:rFonts w:ascii="Times New Roman" w:hAnsi="Times New Roman" w:eastAsia="黑体" w:cs="Times New Roman"/>
          <w:bCs/>
          <w:sz w:val="28"/>
          <w:szCs w:val="28"/>
        </w:rPr>
        <w:t>）</w:t>
      </w:r>
    </w:p>
    <w:p w14:paraId="6324C4F2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面向约400 ppm的低浓度CO</w:t>
      </w:r>
      <w:r>
        <w:rPr>
          <w:rFonts w:ascii="Times New Roman" w:hAnsi="Times New Roman" w:eastAsia="仿宋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eastAsia="仿宋" w:cs="Times New Roman"/>
          <w:sz w:val="28"/>
          <w:szCs w:val="28"/>
        </w:rPr>
        <w:t>分离难题，化学吸附（氢氧化物、胺等）与物理吸附（MOF）形成互补路线；胺功能化MOF兼具高选择性与较低再生能耗。部分方案已将成本降至每吨CO</w:t>
      </w:r>
      <w:r>
        <w:rPr>
          <w:rFonts w:ascii="Times New Roman" w:hAnsi="Times New Roman" w:eastAsia="仿宋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eastAsia="仿宋" w:cs="Times New Roman"/>
          <w:sz w:val="28"/>
          <w:szCs w:val="28"/>
        </w:rPr>
        <w:t>低于100美元。尽管扩展性与运行韧性仍受质疑，材料与工艺优化正推动其走向具竞争力的规模化应用。</w:t>
      </w:r>
    </w:p>
    <w:p w14:paraId="125E21C2">
      <w:pPr>
        <w:spacing w:line="500" w:lineRule="exact"/>
        <w:ind w:firstLine="560" w:firstLineChars="200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十、电化学碳捕集与转化（Electrochemical carbon capture and conversion）</w:t>
      </w:r>
    </w:p>
    <w:p w14:paraId="2933BCA7">
      <w:pPr>
        <w:spacing w:line="500" w:lineRule="exact"/>
        <w:ind w:firstLine="560" w:firstLineChars="200"/>
        <w:rPr>
          <w:rFonts w:hint="eastAsia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ascii="Times New Roman" w:hAnsi="Times New Roman" w:eastAsia="仿宋" w:cs="Times New Roman"/>
          <w:sz w:val="28"/>
          <w:szCs w:val="28"/>
        </w:rPr>
        <w:t>以电能驱动CO</w:t>
      </w:r>
      <w:r>
        <w:rPr>
          <w:rFonts w:ascii="Times New Roman" w:hAnsi="Times New Roman" w:eastAsia="仿宋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eastAsia="仿宋" w:cs="Times New Roman"/>
          <w:sz w:val="28"/>
          <w:szCs w:val="28"/>
        </w:rPr>
        <w:t>捕集再生与就地转化，便于与可再生能源耦合，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使</w:t>
      </w:r>
      <w:r>
        <w:rPr>
          <w:rFonts w:ascii="Times New Roman" w:hAnsi="Times New Roman" w:eastAsia="仿宋" w:cs="Times New Roman"/>
          <w:sz w:val="28"/>
          <w:szCs w:val="28"/>
        </w:rPr>
        <w:t>能效优于多种热化学路径。电催化可将CO</w:t>
      </w:r>
      <w:r>
        <w:rPr>
          <w:rFonts w:ascii="Times New Roman" w:hAnsi="Times New Roman" w:eastAsia="仿宋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eastAsia="仿宋" w:cs="Times New Roman"/>
          <w:sz w:val="28"/>
          <w:szCs w:val="28"/>
        </w:rPr>
        <w:t>转化为CO、甲酸、甲醇、乙烯及更长链烃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，</w:t>
      </w:r>
      <w:r>
        <w:rPr>
          <w:rFonts w:ascii="Times New Roman" w:hAnsi="Times New Roman" w:eastAsia="仿宋" w:cs="Times New Roman"/>
          <w:sz w:val="28"/>
          <w:szCs w:val="28"/>
        </w:rPr>
        <w:t>以Cu、Ni等地丰金属为主体的催化剂在多碳产物方面展现潜力。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目前，该技术尽管尚处于早期阶段，</w:t>
      </w:r>
      <w:r>
        <w:rPr>
          <w:rFonts w:ascii="Times New Roman" w:hAnsi="Times New Roman" w:eastAsia="仿宋" w:cs="Times New Roman"/>
          <w:sz w:val="28"/>
          <w:szCs w:val="28"/>
        </w:rPr>
        <w:t>但被视为循环碳经济的重要增量路径。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5FF5F299">
      <w:pPr>
        <w:pStyle w:val="7"/>
        <w:rPr>
          <w:rFonts w:ascii="Times New Roman" w:hAnsi="Times New Roman" w:cs="Times New Roman"/>
        </w:rPr>
      </w:pPr>
      <w:r>
        <w:rPr>
          <w:rStyle w:val="11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</w:rPr>
        <w:t>https://www.chemsoc.org.cn/a6934.html</w:t>
      </w:r>
      <w:r>
        <w:rPr>
          <w:rFonts w:ascii="Times New Roman" w:hAnsi="Times New Roman" w:cs="Times New Roman"/>
        </w:rPr>
        <w:t xml:space="preserve">; </w:t>
      </w:r>
      <w:r>
        <w:rPr>
          <w:rFonts w:hint="eastAsia" w:ascii="Times New Roman" w:hAnsi="Times New Roman" w:cs="Times New Roman"/>
        </w:rPr>
        <w:t xml:space="preserve">https://iupac.org/iupac-announces-the-2025-top-ten-emerging-technologies-in-chemistry/; </w:t>
      </w:r>
      <w:r>
        <w:rPr>
          <w:rFonts w:ascii="Times New Roman" w:hAnsi="Times New Roman" w:cs="Times New Roman"/>
        </w:rPr>
        <w:t>https://www.degruyterbrill.com/document/doi/10.1515/ci-2025-0402/html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3F3"/>
    <w:rsid w:val="00003025"/>
    <w:rsid w:val="00027479"/>
    <w:rsid w:val="000310E6"/>
    <w:rsid w:val="0003216E"/>
    <w:rsid w:val="000329D6"/>
    <w:rsid w:val="00037B9E"/>
    <w:rsid w:val="00052CCC"/>
    <w:rsid w:val="0005320A"/>
    <w:rsid w:val="0005648A"/>
    <w:rsid w:val="00073CAB"/>
    <w:rsid w:val="00087CE5"/>
    <w:rsid w:val="000903B5"/>
    <w:rsid w:val="000A0AB2"/>
    <w:rsid w:val="000A3E16"/>
    <w:rsid w:val="000B08BA"/>
    <w:rsid w:val="000B5252"/>
    <w:rsid w:val="000B5812"/>
    <w:rsid w:val="000C156F"/>
    <w:rsid w:val="000C1F18"/>
    <w:rsid w:val="000D2E1F"/>
    <w:rsid w:val="000E09E9"/>
    <w:rsid w:val="000E26AD"/>
    <w:rsid w:val="000E559F"/>
    <w:rsid w:val="000F0839"/>
    <w:rsid w:val="000F269B"/>
    <w:rsid w:val="00100C88"/>
    <w:rsid w:val="00102E77"/>
    <w:rsid w:val="001033C8"/>
    <w:rsid w:val="00113104"/>
    <w:rsid w:val="001172ED"/>
    <w:rsid w:val="00124EF7"/>
    <w:rsid w:val="0012562A"/>
    <w:rsid w:val="00134BA4"/>
    <w:rsid w:val="0013702B"/>
    <w:rsid w:val="0014024D"/>
    <w:rsid w:val="00152754"/>
    <w:rsid w:val="00153A6C"/>
    <w:rsid w:val="00155D21"/>
    <w:rsid w:val="00155F7A"/>
    <w:rsid w:val="00163B91"/>
    <w:rsid w:val="00173728"/>
    <w:rsid w:val="001873F8"/>
    <w:rsid w:val="001929E5"/>
    <w:rsid w:val="001A3966"/>
    <w:rsid w:val="001A6C83"/>
    <w:rsid w:val="001B2FA2"/>
    <w:rsid w:val="001B3A31"/>
    <w:rsid w:val="001B63AB"/>
    <w:rsid w:val="001D2095"/>
    <w:rsid w:val="001D4355"/>
    <w:rsid w:val="001E162B"/>
    <w:rsid w:val="001F1CF8"/>
    <w:rsid w:val="001F4679"/>
    <w:rsid w:val="001F5A35"/>
    <w:rsid w:val="002072DE"/>
    <w:rsid w:val="00212E75"/>
    <w:rsid w:val="00217C99"/>
    <w:rsid w:val="00234AE5"/>
    <w:rsid w:val="00234E64"/>
    <w:rsid w:val="00241BE0"/>
    <w:rsid w:val="0025007B"/>
    <w:rsid w:val="002520B3"/>
    <w:rsid w:val="00262B19"/>
    <w:rsid w:val="00266D8F"/>
    <w:rsid w:val="00270B2C"/>
    <w:rsid w:val="00272A67"/>
    <w:rsid w:val="00275590"/>
    <w:rsid w:val="0028070E"/>
    <w:rsid w:val="00280D31"/>
    <w:rsid w:val="002841D2"/>
    <w:rsid w:val="002842FE"/>
    <w:rsid w:val="00287E1B"/>
    <w:rsid w:val="00290C1E"/>
    <w:rsid w:val="002B35AA"/>
    <w:rsid w:val="002B512C"/>
    <w:rsid w:val="002B6950"/>
    <w:rsid w:val="002C223A"/>
    <w:rsid w:val="002C66AB"/>
    <w:rsid w:val="002D64B0"/>
    <w:rsid w:val="002D7FBD"/>
    <w:rsid w:val="0030146A"/>
    <w:rsid w:val="0030227E"/>
    <w:rsid w:val="00317692"/>
    <w:rsid w:val="00322136"/>
    <w:rsid w:val="003223C3"/>
    <w:rsid w:val="00334808"/>
    <w:rsid w:val="00336819"/>
    <w:rsid w:val="00340CE1"/>
    <w:rsid w:val="003518C1"/>
    <w:rsid w:val="0036458C"/>
    <w:rsid w:val="00373B27"/>
    <w:rsid w:val="003740E4"/>
    <w:rsid w:val="003802A2"/>
    <w:rsid w:val="00383627"/>
    <w:rsid w:val="00385E59"/>
    <w:rsid w:val="00387892"/>
    <w:rsid w:val="003912EC"/>
    <w:rsid w:val="003936CF"/>
    <w:rsid w:val="003B6A48"/>
    <w:rsid w:val="003D0953"/>
    <w:rsid w:val="003E0541"/>
    <w:rsid w:val="003E4F72"/>
    <w:rsid w:val="003F0A0D"/>
    <w:rsid w:val="003F1D32"/>
    <w:rsid w:val="00403751"/>
    <w:rsid w:val="00405415"/>
    <w:rsid w:val="0041692E"/>
    <w:rsid w:val="00417D1C"/>
    <w:rsid w:val="004211D2"/>
    <w:rsid w:val="00422D8C"/>
    <w:rsid w:val="004253B2"/>
    <w:rsid w:val="00427EE1"/>
    <w:rsid w:val="00431E44"/>
    <w:rsid w:val="0044437B"/>
    <w:rsid w:val="00446C75"/>
    <w:rsid w:val="004509B2"/>
    <w:rsid w:val="00451401"/>
    <w:rsid w:val="00453268"/>
    <w:rsid w:val="00455291"/>
    <w:rsid w:val="004567CE"/>
    <w:rsid w:val="004657D4"/>
    <w:rsid w:val="00467391"/>
    <w:rsid w:val="004A3D88"/>
    <w:rsid w:val="004A6EFF"/>
    <w:rsid w:val="004B509C"/>
    <w:rsid w:val="004B66BA"/>
    <w:rsid w:val="004C2965"/>
    <w:rsid w:val="004C2C2E"/>
    <w:rsid w:val="004C618E"/>
    <w:rsid w:val="004D323A"/>
    <w:rsid w:val="004F567E"/>
    <w:rsid w:val="004F5E6D"/>
    <w:rsid w:val="00512798"/>
    <w:rsid w:val="00520298"/>
    <w:rsid w:val="00535C24"/>
    <w:rsid w:val="005437B9"/>
    <w:rsid w:val="00545A40"/>
    <w:rsid w:val="00546B35"/>
    <w:rsid w:val="005553F3"/>
    <w:rsid w:val="00560D78"/>
    <w:rsid w:val="00583B29"/>
    <w:rsid w:val="0059352E"/>
    <w:rsid w:val="00595AF9"/>
    <w:rsid w:val="005C4E51"/>
    <w:rsid w:val="005D562F"/>
    <w:rsid w:val="005E1965"/>
    <w:rsid w:val="005E689A"/>
    <w:rsid w:val="005E734F"/>
    <w:rsid w:val="005F2949"/>
    <w:rsid w:val="00624449"/>
    <w:rsid w:val="00631A90"/>
    <w:rsid w:val="006322FB"/>
    <w:rsid w:val="00655F19"/>
    <w:rsid w:val="006607AB"/>
    <w:rsid w:val="00666773"/>
    <w:rsid w:val="00666791"/>
    <w:rsid w:val="0067257C"/>
    <w:rsid w:val="006767A5"/>
    <w:rsid w:val="00687CBA"/>
    <w:rsid w:val="00691495"/>
    <w:rsid w:val="006A3128"/>
    <w:rsid w:val="006B2F5F"/>
    <w:rsid w:val="006D3CC7"/>
    <w:rsid w:val="006D402E"/>
    <w:rsid w:val="006E0016"/>
    <w:rsid w:val="006E12D3"/>
    <w:rsid w:val="006F00CE"/>
    <w:rsid w:val="006F341D"/>
    <w:rsid w:val="00712926"/>
    <w:rsid w:val="00733942"/>
    <w:rsid w:val="00767991"/>
    <w:rsid w:val="00772152"/>
    <w:rsid w:val="00772C09"/>
    <w:rsid w:val="0077411F"/>
    <w:rsid w:val="0077580D"/>
    <w:rsid w:val="00777312"/>
    <w:rsid w:val="007804CD"/>
    <w:rsid w:val="007A03D3"/>
    <w:rsid w:val="007A6E14"/>
    <w:rsid w:val="007A787B"/>
    <w:rsid w:val="007A7CE5"/>
    <w:rsid w:val="007B5D16"/>
    <w:rsid w:val="007C1160"/>
    <w:rsid w:val="007D6755"/>
    <w:rsid w:val="00814C48"/>
    <w:rsid w:val="0083044C"/>
    <w:rsid w:val="008304FC"/>
    <w:rsid w:val="0083183F"/>
    <w:rsid w:val="00835B49"/>
    <w:rsid w:val="008366AC"/>
    <w:rsid w:val="00841F48"/>
    <w:rsid w:val="008507A8"/>
    <w:rsid w:val="008538F2"/>
    <w:rsid w:val="008542D9"/>
    <w:rsid w:val="0086070D"/>
    <w:rsid w:val="00866101"/>
    <w:rsid w:val="00866DF1"/>
    <w:rsid w:val="00873171"/>
    <w:rsid w:val="008906B4"/>
    <w:rsid w:val="008977C4"/>
    <w:rsid w:val="008A0CB8"/>
    <w:rsid w:val="008C0E91"/>
    <w:rsid w:val="008C263B"/>
    <w:rsid w:val="008D0141"/>
    <w:rsid w:val="008D2805"/>
    <w:rsid w:val="008E20B3"/>
    <w:rsid w:val="008E4A13"/>
    <w:rsid w:val="008E5D30"/>
    <w:rsid w:val="008F4C1E"/>
    <w:rsid w:val="008F52A8"/>
    <w:rsid w:val="00904F1C"/>
    <w:rsid w:val="00906AE0"/>
    <w:rsid w:val="0091453A"/>
    <w:rsid w:val="00933F38"/>
    <w:rsid w:val="0093673B"/>
    <w:rsid w:val="00944C67"/>
    <w:rsid w:val="00946059"/>
    <w:rsid w:val="00951D7E"/>
    <w:rsid w:val="00953DF5"/>
    <w:rsid w:val="00960CED"/>
    <w:rsid w:val="0099173A"/>
    <w:rsid w:val="009B2B21"/>
    <w:rsid w:val="009C6A19"/>
    <w:rsid w:val="009E00E6"/>
    <w:rsid w:val="009E0F46"/>
    <w:rsid w:val="009E25B3"/>
    <w:rsid w:val="009E41D8"/>
    <w:rsid w:val="009F41D7"/>
    <w:rsid w:val="00A15216"/>
    <w:rsid w:val="00A1620A"/>
    <w:rsid w:val="00A35069"/>
    <w:rsid w:val="00A35702"/>
    <w:rsid w:val="00A4444C"/>
    <w:rsid w:val="00A44BC0"/>
    <w:rsid w:val="00A6293D"/>
    <w:rsid w:val="00A67537"/>
    <w:rsid w:val="00A67EE8"/>
    <w:rsid w:val="00A7288A"/>
    <w:rsid w:val="00A73703"/>
    <w:rsid w:val="00A75D6E"/>
    <w:rsid w:val="00A90C5E"/>
    <w:rsid w:val="00A9510A"/>
    <w:rsid w:val="00AA22B5"/>
    <w:rsid w:val="00AE728C"/>
    <w:rsid w:val="00AF1B4C"/>
    <w:rsid w:val="00AF5ECE"/>
    <w:rsid w:val="00B13839"/>
    <w:rsid w:val="00B41A59"/>
    <w:rsid w:val="00B659E8"/>
    <w:rsid w:val="00B6699A"/>
    <w:rsid w:val="00B81DD5"/>
    <w:rsid w:val="00B8626D"/>
    <w:rsid w:val="00B92BC1"/>
    <w:rsid w:val="00BA0047"/>
    <w:rsid w:val="00BA5F17"/>
    <w:rsid w:val="00BA79E2"/>
    <w:rsid w:val="00BB2EB8"/>
    <w:rsid w:val="00BB588C"/>
    <w:rsid w:val="00BB59E7"/>
    <w:rsid w:val="00BD07C3"/>
    <w:rsid w:val="00BD0C9C"/>
    <w:rsid w:val="00BE16E5"/>
    <w:rsid w:val="00C00F5A"/>
    <w:rsid w:val="00C10E08"/>
    <w:rsid w:val="00C1468F"/>
    <w:rsid w:val="00C20464"/>
    <w:rsid w:val="00C22495"/>
    <w:rsid w:val="00C2426F"/>
    <w:rsid w:val="00C25C9F"/>
    <w:rsid w:val="00C30567"/>
    <w:rsid w:val="00C30C3F"/>
    <w:rsid w:val="00C33A13"/>
    <w:rsid w:val="00C42059"/>
    <w:rsid w:val="00C43D71"/>
    <w:rsid w:val="00C4674E"/>
    <w:rsid w:val="00C474A4"/>
    <w:rsid w:val="00C50F72"/>
    <w:rsid w:val="00C5458A"/>
    <w:rsid w:val="00C637F9"/>
    <w:rsid w:val="00C6515A"/>
    <w:rsid w:val="00C6651C"/>
    <w:rsid w:val="00C669DC"/>
    <w:rsid w:val="00C86371"/>
    <w:rsid w:val="00C907AF"/>
    <w:rsid w:val="00C94322"/>
    <w:rsid w:val="00CA42F8"/>
    <w:rsid w:val="00CB305D"/>
    <w:rsid w:val="00CC4FB5"/>
    <w:rsid w:val="00CC5CE5"/>
    <w:rsid w:val="00CD4207"/>
    <w:rsid w:val="00D05D11"/>
    <w:rsid w:val="00D10D2A"/>
    <w:rsid w:val="00D139C3"/>
    <w:rsid w:val="00D21483"/>
    <w:rsid w:val="00D26527"/>
    <w:rsid w:val="00D2680D"/>
    <w:rsid w:val="00D31002"/>
    <w:rsid w:val="00D44882"/>
    <w:rsid w:val="00D453A8"/>
    <w:rsid w:val="00D53231"/>
    <w:rsid w:val="00D55A7D"/>
    <w:rsid w:val="00D661BA"/>
    <w:rsid w:val="00D6670D"/>
    <w:rsid w:val="00D703B0"/>
    <w:rsid w:val="00D7408C"/>
    <w:rsid w:val="00D81538"/>
    <w:rsid w:val="00D82871"/>
    <w:rsid w:val="00DA0EA0"/>
    <w:rsid w:val="00DB3217"/>
    <w:rsid w:val="00DD1C75"/>
    <w:rsid w:val="00DD36ED"/>
    <w:rsid w:val="00DE511C"/>
    <w:rsid w:val="00DF3E77"/>
    <w:rsid w:val="00E15805"/>
    <w:rsid w:val="00E36281"/>
    <w:rsid w:val="00E41045"/>
    <w:rsid w:val="00E70FD5"/>
    <w:rsid w:val="00E74D23"/>
    <w:rsid w:val="00E75788"/>
    <w:rsid w:val="00E777A3"/>
    <w:rsid w:val="00E83ED3"/>
    <w:rsid w:val="00EB27F9"/>
    <w:rsid w:val="00EB4047"/>
    <w:rsid w:val="00EB691D"/>
    <w:rsid w:val="00EC1386"/>
    <w:rsid w:val="00EC6ABF"/>
    <w:rsid w:val="00EC7C07"/>
    <w:rsid w:val="00ED1197"/>
    <w:rsid w:val="00ED5712"/>
    <w:rsid w:val="00ED5D8C"/>
    <w:rsid w:val="00EE5C68"/>
    <w:rsid w:val="00F105A5"/>
    <w:rsid w:val="00F111D3"/>
    <w:rsid w:val="00F209DF"/>
    <w:rsid w:val="00F241CD"/>
    <w:rsid w:val="00F276B6"/>
    <w:rsid w:val="00F32704"/>
    <w:rsid w:val="00F41A61"/>
    <w:rsid w:val="00F51B23"/>
    <w:rsid w:val="00F60584"/>
    <w:rsid w:val="00F61209"/>
    <w:rsid w:val="00F63534"/>
    <w:rsid w:val="00F7654C"/>
    <w:rsid w:val="00F77112"/>
    <w:rsid w:val="00F8504A"/>
    <w:rsid w:val="00F85B9A"/>
    <w:rsid w:val="00F936DA"/>
    <w:rsid w:val="00F97607"/>
    <w:rsid w:val="00FA3EB3"/>
    <w:rsid w:val="00FA7420"/>
    <w:rsid w:val="00FB209E"/>
    <w:rsid w:val="00FC2A7B"/>
    <w:rsid w:val="00FF0640"/>
    <w:rsid w:val="00FF1E43"/>
    <w:rsid w:val="01F263A3"/>
    <w:rsid w:val="25D73CA2"/>
    <w:rsid w:val="4C3E2CF1"/>
    <w:rsid w:val="573C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snapToGrid w:val="0"/>
      <w:spacing w:before="381" w:beforeLines="100" w:after="381" w:afterLines="100" w:line="500" w:lineRule="exact"/>
      <w:jc w:val="center"/>
      <w:outlineLvl w:val="0"/>
    </w:pPr>
    <w:rPr>
      <w:rFonts w:ascii="Times New Roman" w:hAnsi="Times New Roman" w:eastAsia="黑体" w:cs="Times New Roman"/>
      <w:b/>
      <w:bCs/>
      <w:kern w:val="44"/>
      <w:sz w:val="30"/>
      <w:szCs w:val="3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link w:val="14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2">
    <w:name w:val="标题 1 字符"/>
    <w:basedOn w:val="9"/>
    <w:qFormat/>
    <w:uiPriority w:val="9"/>
    <w:rPr>
      <w:b/>
      <w:bCs/>
      <w:kern w:val="44"/>
      <w:sz w:val="44"/>
      <w:szCs w:val="44"/>
    </w:rPr>
  </w:style>
  <w:style w:type="character" w:customStyle="1" w:styleId="13">
    <w:name w:val="标题 1 字符1"/>
    <w:link w:val="2"/>
    <w:qFormat/>
    <w:locked/>
    <w:uiPriority w:val="0"/>
    <w:rPr>
      <w:rFonts w:ascii="Times New Roman" w:hAnsi="Times New Roman" w:eastAsia="黑体" w:cs="Times New Roman"/>
      <w:b/>
      <w:bCs/>
      <w:kern w:val="44"/>
      <w:sz w:val="30"/>
      <w:szCs w:val="30"/>
    </w:rPr>
  </w:style>
  <w:style w:type="character" w:customStyle="1" w:styleId="14">
    <w:name w:val="脚注文本 字符"/>
    <w:basedOn w:val="9"/>
    <w:link w:val="7"/>
    <w:semiHidden/>
    <w:qFormat/>
    <w:uiPriority w:val="99"/>
    <w:rPr>
      <w:sz w:val="18"/>
      <w:szCs w:val="18"/>
    </w:rPr>
  </w:style>
  <w:style w:type="character" w:customStyle="1" w:styleId="15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标题 2 字符"/>
    <w:basedOn w:val="9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标题 3 字符"/>
    <w:basedOn w:val="9"/>
    <w:link w:val="4"/>
    <w:semiHidden/>
    <w:qFormat/>
    <w:uiPriority w:val="9"/>
    <w:rPr>
      <w:b/>
      <w:bCs/>
      <w:sz w:val="32"/>
      <w:szCs w:val="32"/>
    </w:rPr>
  </w:style>
  <w:style w:type="character" w:customStyle="1" w:styleId="19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20">
    <w:name w:val="页脚 字符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E7628-E6B1-4C8B-9F32-0A5E0773AE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1848</Words>
  <Characters>2175</Characters>
  <Lines>38</Lines>
  <Paragraphs>10</Paragraphs>
  <TotalTime>45</TotalTime>
  <ScaleCrop>false</ScaleCrop>
  <LinksUpToDate>false</LinksUpToDate>
  <CharactersWithSpaces>2196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2025-11-12T08:25:00Z</dcterms:created>
  <dc:creator>Dan Li</dc:creator>
  <cp:lastModifiedBy>小丹</cp:lastModifiedBy>
  <dcterms:modified xsi:type="dcterms:W3CDTF">2025-11-28T01:24:59Z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eyJoZGlkIjoiN2ZjNDNhMWFiNjdmNThhZjdiZGFjYjhhNmNjMzcxMmYiLCJ1c2VySWQiOiI0NTMwMTMxMjUifQ==</vt:lpwstr>
  </property>
  <property fmtid="{D5CDD505-2E9C-101B-9397-08002B2CF9AE}" pid="3" name="KSOProductBuildVer">
    <vt:lpwstr>2052-12.1.0.23542</vt:lpwstr>
  </property>
  <property fmtid="{D5CDD505-2E9C-101B-9397-08002B2CF9AE}" pid="4" name="ICV">
    <vt:lpwstr>824C581AA9F147B5A92225B9743BD3FA_13</vt:lpwstr>
  </property>
</Properties>
</file>